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273FD" w14:textId="77777777" w:rsidR="00400697" w:rsidRDefault="00400697" w:rsidP="00C63586">
      <w:pPr>
        <w:spacing w:line="360" w:lineRule="auto"/>
        <w:rPr>
          <w:rFonts w:ascii="Garamond" w:eastAsia="EB Garamond" w:hAnsi="Garamond" w:cs="EB Garamond"/>
          <w:b/>
          <w:bCs/>
        </w:rPr>
      </w:pPr>
      <w:bookmarkStart w:id="0" w:name="_GoBack"/>
      <w:bookmarkEnd w:id="0"/>
    </w:p>
    <w:p w14:paraId="01F8B084" w14:textId="77777777" w:rsidR="00400697" w:rsidRPr="00400697" w:rsidRDefault="00400697" w:rsidP="00400697">
      <w:pPr>
        <w:spacing w:line="360" w:lineRule="auto"/>
        <w:jc w:val="center"/>
        <w:rPr>
          <w:rFonts w:ascii="Garamond" w:hAnsi="Garamond"/>
          <w:b/>
          <w:bCs/>
          <w:noProof/>
          <w:sz w:val="24"/>
          <w:szCs w:val="24"/>
        </w:rPr>
      </w:pPr>
      <w:r w:rsidRPr="00400697">
        <w:rPr>
          <w:rFonts w:ascii="Garamond" w:eastAsia="EB Garamond" w:hAnsi="Garamond" w:cs="EB Garamond"/>
          <w:b/>
          <w:bCs/>
          <w:sz w:val="24"/>
          <w:szCs w:val="24"/>
        </w:rPr>
        <w:t>Abstract:</w:t>
      </w:r>
      <w:r w:rsidRPr="00400697">
        <w:rPr>
          <w:rFonts w:ascii="Garamond" w:hAnsi="Garamond"/>
          <w:b/>
          <w:bCs/>
          <w:noProof/>
          <w:sz w:val="24"/>
          <w:szCs w:val="24"/>
        </w:rPr>
        <w:t xml:space="preserve"> The Rite of Spring; Dionysus of the Dithyramb</w:t>
      </w:r>
    </w:p>
    <w:p w14:paraId="3C987851" w14:textId="77777777" w:rsidR="00400697" w:rsidRDefault="00400697" w:rsidP="00400697">
      <w:pPr>
        <w:rPr>
          <w:rFonts w:ascii="Garamond" w:hAnsi="Garamond"/>
        </w:rPr>
      </w:pPr>
    </w:p>
    <w:p w14:paraId="404C9664" w14:textId="77777777" w:rsidR="00400697" w:rsidRDefault="00400697" w:rsidP="00C63586">
      <w:pPr>
        <w:spacing w:line="360" w:lineRule="auto"/>
        <w:rPr>
          <w:rFonts w:ascii="Garamond" w:eastAsia="EB Garamond" w:hAnsi="Garamond" w:cs="EB Garamond"/>
          <w:b/>
          <w:bCs/>
        </w:rPr>
      </w:pPr>
      <w:r>
        <w:rPr>
          <w:noProof/>
        </w:rPr>
        <w:drawing>
          <wp:inline distT="0" distB="0" distL="0" distR="0" wp14:anchorId="4815F940" wp14:editId="0E07DAB4">
            <wp:extent cx="5614587" cy="217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894" t="1807" r="1123" b="6065"/>
                    <a:stretch/>
                  </pic:blipFill>
                  <pic:spPr bwMode="auto">
                    <a:xfrm>
                      <a:off x="0" y="0"/>
                      <a:ext cx="5615855" cy="2179177"/>
                    </a:xfrm>
                    <a:prstGeom prst="rect">
                      <a:avLst/>
                    </a:prstGeom>
                    <a:ln>
                      <a:noFill/>
                    </a:ln>
                    <a:extLst>
                      <a:ext uri="{53640926-AAD7-44D8-BBD7-CCE9431645EC}">
                        <a14:shadowObscured xmlns:a14="http://schemas.microsoft.com/office/drawing/2010/main"/>
                      </a:ext>
                    </a:extLst>
                  </pic:spPr>
                </pic:pic>
              </a:graphicData>
            </a:graphic>
          </wp:inline>
        </w:drawing>
      </w:r>
    </w:p>
    <w:p w14:paraId="07779FED" w14:textId="04D2CEF2" w:rsidR="00400697" w:rsidRPr="005C19F9" w:rsidRDefault="00400697" w:rsidP="005C19F9">
      <w:pPr>
        <w:jc w:val="center"/>
        <w:rPr>
          <w:rFonts w:ascii="Garamond" w:hAnsi="Garamond"/>
          <w:sz w:val="20"/>
          <w:szCs w:val="20"/>
        </w:rPr>
      </w:pPr>
      <w:r w:rsidRPr="00400697">
        <w:rPr>
          <w:rFonts w:ascii="Garamond" w:hAnsi="Garamond"/>
          <w:sz w:val="20"/>
          <w:szCs w:val="20"/>
        </w:rPr>
        <w:t xml:space="preserve">Dame Ethel Walker, </w:t>
      </w:r>
      <w:r w:rsidRPr="00400697">
        <w:rPr>
          <w:rFonts w:ascii="Garamond" w:hAnsi="Garamond"/>
          <w:i/>
          <w:iCs/>
          <w:sz w:val="20"/>
          <w:szCs w:val="20"/>
        </w:rPr>
        <w:t>The Rite of Spring; Dionysus of the Dithyramb</w:t>
      </w:r>
      <w:r w:rsidRPr="00400697">
        <w:rPr>
          <w:rFonts w:ascii="Garamond" w:hAnsi="Garamond"/>
          <w:sz w:val="20"/>
          <w:szCs w:val="20"/>
        </w:rPr>
        <w:t>, c.1925, oil on canvas</w:t>
      </w:r>
      <w:r w:rsidRPr="004A41B4">
        <w:rPr>
          <w:rFonts w:ascii="Garamond" w:hAnsi="Garamond"/>
          <w:color w:val="000000" w:themeColor="text1"/>
          <w:sz w:val="20"/>
          <w:szCs w:val="20"/>
        </w:rPr>
        <w:t xml:space="preserve">, </w:t>
      </w:r>
      <w:r w:rsidR="004A41B4" w:rsidRPr="004A41B4">
        <w:rPr>
          <w:rFonts w:ascii="Garamond" w:eastAsia="EB Garamond" w:hAnsi="Garamond" w:cs="EB Garamond"/>
          <w:color w:val="000000" w:themeColor="text1"/>
          <w:sz w:val="20"/>
          <w:szCs w:val="20"/>
        </w:rPr>
        <w:t>62</w:t>
      </w:r>
      <w:r w:rsidRPr="004A41B4">
        <w:rPr>
          <w:rFonts w:ascii="Garamond" w:eastAsia="EB Garamond" w:hAnsi="Garamond" w:cs="EB Garamond"/>
          <w:color w:val="000000" w:themeColor="text1"/>
          <w:sz w:val="20"/>
          <w:szCs w:val="20"/>
        </w:rPr>
        <w:t xml:space="preserve"> x </w:t>
      </w:r>
      <w:r w:rsidR="004A41B4" w:rsidRPr="004A41B4">
        <w:rPr>
          <w:rFonts w:ascii="Garamond" w:eastAsia="EB Garamond" w:hAnsi="Garamond" w:cs="EB Garamond"/>
          <w:color w:val="000000" w:themeColor="text1"/>
          <w:sz w:val="20"/>
          <w:szCs w:val="20"/>
        </w:rPr>
        <w:t>160</w:t>
      </w:r>
      <w:r w:rsidRPr="004A41B4">
        <w:rPr>
          <w:rFonts w:ascii="Garamond" w:eastAsia="EB Garamond" w:hAnsi="Garamond" w:cs="EB Garamond"/>
          <w:color w:val="000000" w:themeColor="text1"/>
          <w:sz w:val="20"/>
          <w:szCs w:val="20"/>
        </w:rPr>
        <w:t xml:space="preserve"> x </w:t>
      </w:r>
      <w:r w:rsidR="004A41B4" w:rsidRPr="004A41B4">
        <w:rPr>
          <w:rFonts w:ascii="Garamond" w:eastAsia="EB Garamond" w:hAnsi="Garamond" w:cs="EB Garamond"/>
          <w:color w:val="000000" w:themeColor="text1"/>
          <w:sz w:val="20"/>
          <w:szCs w:val="20"/>
        </w:rPr>
        <w:t>2.5</w:t>
      </w:r>
      <w:r w:rsidRPr="004A41B4">
        <w:rPr>
          <w:rFonts w:ascii="Garamond" w:eastAsia="EB Garamond" w:hAnsi="Garamond" w:cs="EB Garamond"/>
          <w:color w:val="000000" w:themeColor="text1"/>
          <w:sz w:val="20"/>
          <w:szCs w:val="20"/>
        </w:rPr>
        <w:t xml:space="preserve"> cm</w:t>
      </w:r>
      <w:r w:rsidRPr="004A41B4">
        <w:rPr>
          <w:rFonts w:ascii="Garamond" w:hAnsi="Garamond"/>
          <w:color w:val="000000" w:themeColor="text1"/>
          <w:sz w:val="20"/>
          <w:szCs w:val="20"/>
        </w:rPr>
        <w:t xml:space="preserve"> </w:t>
      </w:r>
      <w:r w:rsidRPr="00400697">
        <w:rPr>
          <w:rFonts w:ascii="Garamond" w:hAnsi="Garamond"/>
          <w:sz w:val="20"/>
          <w:szCs w:val="20"/>
        </w:rPr>
        <w:t>private collection.</w:t>
      </w:r>
    </w:p>
    <w:p w14:paraId="581135F1" w14:textId="4E9FF194" w:rsidR="005F4DF6" w:rsidRDefault="00E36F07" w:rsidP="005F4DF6">
      <w:pPr>
        <w:pStyle w:val="xmsonormal"/>
        <w:ind w:firstLine="720"/>
        <w:rPr>
          <w:rFonts w:ascii="Garamond" w:hAnsi="Garamond" w:cs="Segoe UI"/>
          <w:color w:val="201F1E"/>
          <w:sz w:val="22"/>
          <w:szCs w:val="22"/>
        </w:rPr>
      </w:pPr>
      <w:r w:rsidRPr="00E36F07">
        <w:rPr>
          <w:rFonts w:ascii="Garamond" w:hAnsi="Garamond" w:cs="Segoe UI"/>
          <w:color w:val="201F1E"/>
          <w:sz w:val="22"/>
          <w:szCs w:val="22"/>
        </w:rPr>
        <w:t xml:space="preserve">This report </w:t>
      </w:r>
      <w:r w:rsidR="00774886">
        <w:rPr>
          <w:rFonts w:ascii="Garamond" w:hAnsi="Garamond" w:cs="Segoe UI"/>
          <w:color w:val="201F1E"/>
          <w:sz w:val="22"/>
          <w:szCs w:val="22"/>
        </w:rPr>
        <w:t>is</w:t>
      </w:r>
      <w:r w:rsidRPr="00E36F07">
        <w:rPr>
          <w:rFonts w:ascii="Garamond" w:hAnsi="Garamond" w:cs="Segoe UI"/>
          <w:color w:val="201F1E"/>
          <w:sz w:val="22"/>
          <w:szCs w:val="22"/>
        </w:rPr>
        <w:t xml:space="preserve"> an exploration of Dame Ethel Walker’s </w:t>
      </w:r>
      <w:r w:rsidRPr="004006DC">
        <w:rPr>
          <w:rFonts w:ascii="Garamond" w:hAnsi="Garamond" w:cs="Segoe UI"/>
          <w:i/>
          <w:iCs/>
          <w:color w:val="201F1E"/>
          <w:sz w:val="22"/>
          <w:szCs w:val="22"/>
        </w:rPr>
        <w:t>Rite of Spring: Dionysus of the Dithyramb</w:t>
      </w:r>
      <w:r w:rsidRPr="00E36F07">
        <w:rPr>
          <w:rFonts w:ascii="Garamond" w:hAnsi="Garamond" w:cs="Segoe UI"/>
          <w:color w:val="201F1E"/>
          <w:sz w:val="22"/>
          <w:szCs w:val="22"/>
        </w:rPr>
        <w:t xml:space="preserve"> using an interdisciplinary array of methods that combine </w:t>
      </w:r>
      <w:r w:rsidR="004006DC">
        <w:rPr>
          <w:rFonts w:ascii="Garamond" w:hAnsi="Garamond" w:cs="Segoe UI"/>
          <w:color w:val="201F1E"/>
          <w:sz w:val="22"/>
          <w:szCs w:val="22"/>
        </w:rPr>
        <w:t xml:space="preserve">art </w:t>
      </w:r>
      <w:r w:rsidRPr="00E36F07">
        <w:rPr>
          <w:rFonts w:ascii="Garamond" w:hAnsi="Garamond" w:cs="Segoe UI"/>
          <w:color w:val="201F1E"/>
          <w:sz w:val="22"/>
          <w:szCs w:val="22"/>
        </w:rPr>
        <w:t xml:space="preserve">historical </w:t>
      </w:r>
      <w:r w:rsidR="005C19F9">
        <w:rPr>
          <w:rFonts w:ascii="Garamond" w:hAnsi="Garamond" w:cs="Segoe UI"/>
          <w:color w:val="201F1E"/>
          <w:sz w:val="22"/>
          <w:szCs w:val="22"/>
        </w:rPr>
        <w:t xml:space="preserve">scholarship </w:t>
      </w:r>
      <w:r w:rsidRPr="00E36F07">
        <w:rPr>
          <w:rFonts w:ascii="Garamond" w:hAnsi="Garamond" w:cs="Segoe UI"/>
          <w:color w:val="201F1E"/>
          <w:sz w:val="22"/>
          <w:szCs w:val="22"/>
        </w:rPr>
        <w:t xml:space="preserve">and technical evidence as a means of interrogating the style, formal qualities and technical attributes of Ethel Walker’s </w:t>
      </w:r>
      <w:r w:rsidR="00277018">
        <w:rPr>
          <w:rFonts w:ascii="Garamond" w:hAnsi="Garamond" w:cs="Segoe UI"/>
          <w:color w:val="201F1E"/>
          <w:sz w:val="22"/>
          <w:szCs w:val="22"/>
        </w:rPr>
        <w:t>‘D</w:t>
      </w:r>
      <w:r w:rsidRPr="00E36F07">
        <w:rPr>
          <w:rFonts w:ascii="Garamond" w:hAnsi="Garamond" w:cs="Segoe UI"/>
          <w:color w:val="201F1E"/>
          <w:sz w:val="22"/>
          <w:szCs w:val="22"/>
        </w:rPr>
        <w:t>ecoration</w:t>
      </w:r>
      <w:r w:rsidR="00277018">
        <w:rPr>
          <w:rFonts w:ascii="Garamond" w:hAnsi="Garamond" w:cs="Segoe UI"/>
          <w:color w:val="201F1E"/>
          <w:sz w:val="22"/>
          <w:szCs w:val="22"/>
        </w:rPr>
        <w:t>’</w:t>
      </w:r>
      <w:r w:rsidRPr="00E36F07">
        <w:rPr>
          <w:rFonts w:ascii="Garamond" w:hAnsi="Garamond" w:cs="Segoe UI"/>
          <w:color w:val="201F1E"/>
          <w:sz w:val="22"/>
          <w:szCs w:val="22"/>
        </w:rPr>
        <w:t>.</w:t>
      </w:r>
      <w:r w:rsidRPr="00E36F07">
        <w:rPr>
          <w:rStyle w:val="apple-converted-space"/>
          <w:rFonts w:ascii="Garamond" w:hAnsi="Garamond" w:cs="Segoe UI"/>
          <w:color w:val="201F1E"/>
          <w:sz w:val="22"/>
          <w:szCs w:val="22"/>
        </w:rPr>
        <w:t> </w:t>
      </w:r>
    </w:p>
    <w:p w14:paraId="3C7B0521" w14:textId="473E96E3" w:rsidR="003B4225" w:rsidRDefault="00E36F07" w:rsidP="003B4225">
      <w:pPr>
        <w:pStyle w:val="xmsonormal"/>
        <w:ind w:firstLine="720"/>
        <w:rPr>
          <w:rFonts w:ascii="Garamond" w:hAnsi="Garamond" w:cs="Segoe UI"/>
          <w:color w:val="201F1E"/>
          <w:sz w:val="22"/>
          <w:szCs w:val="22"/>
        </w:rPr>
      </w:pPr>
      <w:r w:rsidRPr="00E36F07">
        <w:rPr>
          <w:rFonts w:ascii="Garamond" w:hAnsi="Garamond" w:cs="Segoe UI"/>
          <w:color w:val="201F1E"/>
          <w:sz w:val="22"/>
          <w:szCs w:val="22"/>
        </w:rPr>
        <w:t xml:space="preserve">A technical investigation into Walker’s </w:t>
      </w:r>
      <w:r>
        <w:rPr>
          <w:rFonts w:ascii="Garamond" w:hAnsi="Garamond" w:cs="Segoe UI"/>
          <w:color w:val="201F1E"/>
          <w:sz w:val="22"/>
          <w:szCs w:val="22"/>
        </w:rPr>
        <w:t xml:space="preserve">stylistic development and </w:t>
      </w:r>
      <w:r w:rsidRPr="00E36F07">
        <w:rPr>
          <w:rFonts w:ascii="Garamond" w:hAnsi="Garamond" w:cs="Segoe UI"/>
          <w:color w:val="201F1E"/>
          <w:sz w:val="22"/>
          <w:szCs w:val="22"/>
        </w:rPr>
        <w:t>compositional process, with a particular focus on her use of preparatory sketches, methods of under</w:t>
      </w:r>
      <w:r w:rsidR="005C19F9">
        <w:rPr>
          <w:rFonts w:ascii="Garamond" w:hAnsi="Garamond" w:cs="Segoe UI"/>
          <w:color w:val="201F1E"/>
          <w:sz w:val="22"/>
          <w:szCs w:val="22"/>
        </w:rPr>
        <w:t>-</w:t>
      </w:r>
      <w:r w:rsidRPr="00E36F07">
        <w:rPr>
          <w:rFonts w:ascii="Garamond" w:hAnsi="Garamond" w:cs="Segoe UI"/>
          <w:color w:val="201F1E"/>
          <w:sz w:val="22"/>
          <w:szCs w:val="22"/>
        </w:rPr>
        <w:t xml:space="preserve">drawing and reoccurring compositions across </w:t>
      </w:r>
      <w:r w:rsidR="004006DC">
        <w:rPr>
          <w:rFonts w:ascii="Garamond" w:hAnsi="Garamond" w:cs="Segoe UI"/>
          <w:color w:val="201F1E"/>
          <w:sz w:val="22"/>
          <w:szCs w:val="22"/>
        </w:rPr>
        <w:t xml:space="preserve">her oeuvre </w:t>
      </w:r>
      <w:r w:rsidR="00774886">
        <w:rPr>
          <w:rFonts w:ascii="Garamond" w:hAnsi="Garamond" w:cs="Segoe UI"/>
          <w:color w:val="201F1E"/>
          <w:sz w:val="22"/>
          <w:szCs w:val="22"/>
        </w:rPr>
        <w:t>was undertaken</w:t>
      </w:r>
      <w:r w:rsidRPr="00E36F07">
        <w:rPr>
          <w:rFonts w:ascii="Garamond" w:hAnsi="Garamond" w:cs="Segoe UI"/>
          <w:color w:val="201F1E"/>
          <w:sz w:val="22"/>
          <w:szCs w:val="22"/>
        </w:rPr>
        <w:t xml:space="preserve">. </w:t>
      </w:r>
      <w:r w:rsidR="00CA12D8">
        <w:rPr>
          <w:rFonts w:ascii="Garamond" w:hAnsi="Garamond" w:cs="Segoe UI"/>
          <w:color w:val="201F1E"/>
          <w:sz w:val="22"/>
          <w:szCs w:val="22"/>
        </w:rPr>
        <w:t xml:space="preserve">Through this we have found that Ethel Walker reused images of ballet poses across several bas-reliefs and </w:t>
      </w:r>
      <w:r w:rsidR="00277018">
        <w:rPr>
          <w:rFonts w:ascii="Garamond" w:hAnsi="Garamond" w:cs="Segoe UI"/>
          <w:color w:val="201F1E"/>
          <w:sz w:val="22"/>
          <w:szCs w:val="22"/>
        </w:rPr>
        <w:t>‘D</w:t>
      </w:r>
      <w:r w:rsidR="00CA12D8">
        <w:rPr>
          <w:rFonts w:ascii="Garamond" w:hAnsi="Garamond" w:cs="Segoe UI"/>
          <w:color w:val="201F1E"/>
          <w:sz w:val="22"/>
          <w:szCs w:val="22"/>
        </w:rPr>
        <w:t>ecorations</w:t>
      </w:r>
      <w:r w:rsidR="00277018">
        <w:rPr>
          <w:rFonts w:ascii="Garamond" w:hAnsi="Garamond" w:cs="Segoe UI"/>
          <w:color w:val="201F1E"/>
          <w:sz w:val="22"/>
          <w:szCs w:val="22"/>
        </w:rPr>
        <w:t>’</w:t>
      </w:r>
      <w:r w:rsidR="00CA12D8">
        <w:rPr>
          <w:rFonts w:ascii="Garamond" w:hAnsi="Garamond" w:cs="Segoe UI"/>
          <w:color w:val="201F1E"/>
          <w:sz w:val="22"/>
          <w:szCs w:val="22"/>
        </w:rPr>
        <w:t>, including in the</w:t>
      </w:r>
      <w:r w:rsidR="00D013AB">
        <w:rPr>
          <w:rFonts w:ascii="Garamond" w:hAnsi="Garamond" w:cs="Segoe UI"/>
          <w:color w:val="201F1E"/>
          <w:sz w:val="22"/>
          <w:szCs w:val="22"/>
        </w:rPr>
        <w:t xml:space="preserve"> painting of the</w:t>
      </w:r>
      <w:r w:rsidR="00CA12D8">
        <w:rPr>
          <w:rFonts w:ascii="Garamond" w:hAnsi="Garamond" w:cs="Segoe UI"/>
          <w:color w:val="201F1E"/>
          <w:sz w:val="22"/>
          <w:szCs w:val="22"/>
        </w:rPr>
        <w:t xml:space="preserve"> </w:t>
      </w:r>
      <w:r w:rsidR="00CA12D8" w:rsidRPr="006838F3">
        <w:rPr>
          <w:rFonts w:ascii="Garamond" w:hAnsi="Garamond" w:cs="Segoe UI"/>
          <w:i/>
          <w:iCs/>
          <w:color w:val="201F1E"/>
          <w:sz w:val="22"/>
          <w:szCs w:val="22"/>
        </w:rPr>
        <w:t>Rite of Spring</w:t>
      </w:r>
      <w:r w:rsidR="00CA12D8">
        <w:rPr>
          <w:rFonts w:ascii="Garamond" w:hAnsi="Garamond" w:cs="Segoe UI"/>
          <w:color w:val="201F1E"/>
          <w:sz w:val="22"/>
          <w:szCs w:val="22"/>
        </w:rPr>
        <w:t xml:space="preserve">. </w:t>
      </w:r>
      <w:r w:rsidR="004A41B4">
        <w:rPr>
          <w:rFonts w:ascii="Garamond" w:hAnsi="Garamond" w:cs="Segoe UI"/>
          <w:color w:val="201F1E"/>
          <w:sz w:val="22"/>
          <w:szCs w:val="22"/>
        </w:rPr>
        <w:t xml:space="preserve">Although Walker’s style developed from descriptive portraiture to evocative and abstract scenes of </w:t>
      </w:r>
      <w:r w:rsidR="00E03C7D">
        <w:rPr>
          <w:rFonts w:ascii="Garamond" w:hAnsi="Garamond" w:cs="Segoe UI"/>
          <w:color w:val="201F1E"/>
          <w:sz w:val="22"/>
          <w:szCs w:val="22"/>
        </w:rPr>
        <w:t>femineity</w:t>
      </w:r>
      <w:r w:rsidR="004A41B4">
        <w:rPr>
          <w:rFonts w:ascii="Garamond" w:hAnsi="Garamond" w:cs="Segoe UI"/>
          <w:color w:val="201F1E"/>
          <w:sz w:val="22"/>
          <w:szCs w:val="22"/>
        </w:rPr>
        <w:t xml:space="preserve"> with a key focus on light and colour</w:t>
      </w:r>
      <w:r w:rsidR="00E03C7D">
        <w:rPr>
          <w:rFonts w:ascii="Garamond" w:hAnsi="Garamond" w:cs="Segoe UI"/>
          <w:color w:val="201F1E"/>
          <w:sz w:val="22"/>
          <w:szCs w:val="22"/>
        </w:rPr>
        <w:t>, h</w:t>
      </w:r>
      <w:r w:rsidR="00CA12D8">
        <w:rPr>
          <w:rFonts w:ascii="Garamond" w:hAnsi="Garamond" w:cs="Segoe UI"/>
          <w:color w:val="201F1E"/>
          <w:sz w:val="22"/>
          <w:szCs w:val="22"/>
        </w:rPr>
        <w:t xml:space="preserve">er technique remained consistent </w:t>
      </w:r>
      <w:r w:rsidR="006838F3">
        <w:rPr>
          <w:rFonts w:ascii="Garamond" w:hAnsi="Garamond" w:cs="Segoe UI"/>
          <w:color w:val="201F1E"/>
          <w:sz w:val="22"/>
          <w:szCs w:val="22"/>
        </w:rPr>
        <w:t xml:space="preserve">throughout her </w:t>
      </w:r>
      <w:r w:rsidR="004A41B4">
        <w:rPr>
          <w:rFonts w:ascii="Garamond" w:hAnsi="Garamond" w:cs="Segoe UI"/>
          <w:color w:val="201F1E"/>
          <w:sz w:val="22"/>
          <w:szCs w:val="22"/>
        </w:rPr>
        <w:t>‘Decorations’</w:t>
      </w:r>
      <w:r w:rsidR="00E03C7D">
        <w:rPr>
          <w:rFonts w:ascii="Garamond" w:hAnsi="Garamond" w:cs="Segoe UI"/>
          <w:color w:val="201F1E"/>
          <w:sz w:val="22"/>
          <w:szCs w:val="22"/>
        </w:rPr>
        <w:t>,</w:t>
      </w:r>
      <w:r w:rsidR="006838F3">
        <w:rPr>
          <w:rFonts w:ascii="Garamond" w:hAnsi="Garamond" w:cs="Segoe UI"/>
          <w:color w:val="201F1E"/>
          <w:sz w:val="22"/>
          <w:szCs w:val="22"/>
        </w:rPr>
        <w:t xml:space="preserve"> with two painting campaigns being employed in this work similar to her other </w:t>
      </w:r>
      <w:r w:rsidR="00277018">
        <w:rPr>
          <w:rFonts w:ascii="Garamond" w:hAnsi="Garamond" w:cs="Segoe UI"/>
          <w:color w:val="201F1E"/>
          <w:sz w:val="22"/>
          <w:szCs w:val="22"/>
        </w:rPr>
        <w:t>‘D</w:t>
      </w:r>
      <w:r w:rsidR="006838F3">
        <w:rPr>
          <w:rFonts w:ascii="Garamond" w:hAnsi="Garamond" w:cs="Segoe UI"/>
          <w:color w:val="201F1E"/>
          <w:sz w:val="22"/>
          <w:szCs w:val="22"/>
        </w:rPr>
        <w:t>ecoration</w:t>
      </w:r>
      <w:r w:rsidR="000C1078">
        <w:rPr>
          <w:rFonts w:ascii="Garamond" w:hAnsi="Garamond" w:cs="Segoe UI"/>
          <w:color w:val="201F1E"/>
          <w:sz w:val="22"/>
          <w:szCs w:val="22"/>
        </w:rPr>
        <w:t>s</w:t>
      </w:r>
      <w:r w:rsidR="00277018">
        <w:rPr>
          <w:rFonts w:ascii="Garamond" w:hAnsi="Garamond" w:cs="Segoe UI"/>
          <w:color w:val="201F1E"/>
          <w:sz w:val="22"/>
          <w:szCs w:val="22"/>
        </w:rPr>
        <w:t>’</w:t>
      </w:r>
      <w:r w:rsidR="000C1078">
        <w:rPr>
          <w:rFonts w:ascii="Garamond" w:hAnsi="Garamond" w:cs="Segoe UI"/>
          <w:color w:val="201F1E"/>
          <w:sz w:val="22"/>
          <w:szCs w:val="22"/>
        </w:rPr>
        <w:t xml:space="preserve"> </w:t>
      </w:r>
      <w:r w:rsidR="006838F3">
        <w:rPr>
          <w:rFonts w:ascii="Garamond" w:hAnsi="Garamond" w:cs="Segoe UI"/>
          <w:color w:val="201F1E"/>
          <w:sz w:val="22"/>
          <w:szCs w:val="22"/>
        </w:rPr>
        <w:t>such as</w:t>
      </w:r>
      <w:r w:rsidR="005C19F9">
        <w:rPr>
          <w:rFonts w:ascii="Garamond" w:hAnsi="Garamond" w:cs="Segoe UI"/>
          <w:color w:val="201F1E"/>
          <w:sz w:val="22"/>
          <w:szCs w:val="22"/>
        </w:rPr>
        <w:t xml:space="preserve"> </w:t>
      </w:r>
      <w:r w:rsidR="006838F3" w:rsidRPr="006838F3">
        <w:rPr>
          <w:rFonts w:ascii="Garamond" w:hAnsi="Garamond" w:cs="Segoe UI"/>
          <w:i/>
          <w:iCs/>
          <w:color w:val="201F1E"/>
          <w:sz w:val="22"/>
          <w:szCs w:val="22"/>
        </w:rPr>
        <w:t>The Excursion of Nausicaa</w:t>
      </w:r>
      <w:r w:rsidR="006838F3">
        <w:rPr>
          <w:rFonts w:ascii="Garamond" w:hAnsi="Garamond" w:cs="Segoe UI"/>
          <w:color w:val="201F1E"/>
          <w:sz w:val="22"/>
          <w:szCs w:val="22"/>
        </w:rPr>
        <w:t xml:space="preserve">. </w:t>
      </w:r>
      <w:r w:rsidR="003B4225">
        <w:rPr>
          <w:rFonts w:ascii="Garamond" w:hAnsi="Garamond" w:cs="Segoe UI"/>
          <w:color w:val="201F1E"/>
          <w:sz w:val="22"/>
          <w:szCs w:val="22"/>
        </w:rPr>
        <w:t xml:space="preserve">Her interest in contemporary art movements such as impressionism </w:t>
      </w:r>
      <w:r w:rsidR="005C19F9">
        <w:rPr>
          <w:rFonts w:ascii="Garamond" w:hAnsi="Garamond" w:cs="Segoe UI"/>
          <w:color w:val="201F1E"/>
          <w:sz w:val="22"/>
          <w:szCs w:val="22"/>
        </w:rPr>
        <w:t>were</w:t>
      </w:r>
      <w:r w:rsidR="003B4225">
        <w:rPr>
          <w:rFonts w:ascii="Garamond" w:hAnsi="Garamond" w:cs="Segoe UI"/>
          <w:color w:val="201F1E"/>
          <w:sz w:val="22"/>
          <w:szCs w:val="22"/>
        </w:rPr>
        <w:t xml:space="preserve"> reflected in her technique, as her use of </w:t>
      </w:r>
      <w:r w:rsidR="000C1078">
        <w:rPr>
          <w:rFonts w:ascii="Garamond" w:hAnsi="Garamond" w:cs="Segoe UI"/>
          <w:color w:val="201F1E"/>
          <w:sz w:val="22"/>
          <w:szCs w:val="22"/>
        </w:rPr>
        <w:t>expressive brushwork shows</w:t>
      </w:r>
      <w:r w:rsidR="005C19F9">
        <w:rPr>
          <w:rFonts w:ascii="Garamond" w:hAnsi="Garamond" w:cs="Segoe UI"/>
          <w:color w:val="201F1E"/>
          <w:sz w:val="22"/>
          <w:szCs w:val="22"/>
        </w:rPr>
        <w:t xml:space="preserve">, </w:t>
      </w:r>
      <w:r w:rsidR="003B4225">
        <w:rPr>
          <w:rFonts w:ascii="Garamond" w:hAnsi="Garamond" w:cs="Segoe UI"/>
          <w:color w:val="201F1E"/>
          <w:sz w:val="22"/>
          <w:szCs w:val="22"/>
        </w:rPr>
        <w:t>explored in more detail in th</w:t>
      </w:r>
      <w:r w:rsidR="005C19F9">
        <w:rPr>
          <w:rFonts w:ascii="Garamond" w:hAnsi="Garamond" w:cs="Segoe UI"/>
          <w:color w:val="201F1E"/>
          <w:sz w:val="22"/>
          <w:szCs w:val="22"/>
        </w:rPr>
        <w:t xml:space="preserve">e technical analysis </w:t>
      </w:r>
      <w:r w:rsidR="005D6CC2">
        <w:rPr>
          <w:rFonts w:ascii="Garamond" w:hAnsi="Garamond" w:cs="Segoe UI"/>
          <w:color w:val="201F1E"/>
          <w:sz w:val="22"/>
          <w:szCs w:val="22"/>
        </w:rPr>
        <w:t xml:space="preserve">and treatment </w:t>
      </w:r>
      <w:r w:rsidR="005C19F9">
        <w:rPr>
          <w:rFonts w:ascii="Garamond" w:hAnsi="Garamond" w:cs="Segoe UI"/>
          <w:color w:val="201F1E"/>
          <w:sz w:val="22"/>
          <w:szCs w:val="22"/>
        </w:rPr>
        <w:t>of this study</w:t>
      </w:r>
      <w:r w:rsidR="003B4225">
        <w:rPr>
          <w:rFonts w:ascii="Garamond" w:hAnsi="Garamond" w:cs="Segoe UI"/>
          <w:color w:val="201F1E"/>
          <w:sz w:val="22"/>
          <w:szCs w:val="22"/>
        </w:rPr>
        <w:t xml:space="preserve">. </w:t>
      </w:r>
    </w:p>
    <w:p w14:paraId="4C680D14" w14:textId="7CF69BC3" w:rsidR="003B4225" w:rsidRDefault="00E36F07" w:rsidP="005C19F9">
      <w:pPr>
        <w:pStyle w:val="xmsonormal"/>
        <w:ind w:firstLine="720"/>
        <w:rPr>
          <w:rFonts w:ascii="Garamond" w:hAnsi="Garamond" w:cs="Segoe UI"/>
          <w:color w:val="201F1E"/>
          <w:sz w:val="22"/>
          <w:szCs w:val="22"/>
        </w:rPr>
      </w:pPr>
      <w:r w:rsidRPr="00E36F07">
        <w:rPr>
          <w:rFonts w:ascii="Garamond" w:hAnsi="Garamond" w:cs="Segoe UI"/>
          <w:color w:val="201F1E"/>
          <w:sz w:val="22"/>
          <w:szCs w:val="22"/>
        </w:rPr>
        <w:t xml:space="preserve">This approach </w:t>
      </w:r>
      <w:r w:rsidR="004006DC">
        <w:rPr>
          <w:rFonts w:ascii="Garamond" w:hAnsi="Garamond" w:cs="Segoe UI"/>
          <w:color w:val="201F1E"/>
          <w:sz w:val="22"/>
          <w:szCs w:val="22"/>
        </w:rPr>
        <w:t>was</w:t>
      </w:r>
      <w:r w:rsidRPr="00E36F07">
        <w:rPr>
          <w:rFonts w:ascii="Garamond" w:hAnsi="Garamond" w:cs="Segoe UI"/>
          <w:color w:val="201F1E"/>
          <w:sz w:val="22"/>
          <w:szCs w:val="22"/>
        </w:rPr>
        <w:t xml:space="preserve"> complemented by enterprising research into the overarching themes and </w:t>
      </w:r>
      <w:r w:rsidR="003B4225">
        <w:rPr>
          <w:rFonts w:ascii="Garamond" w:hAnsi="Garamond" w:cs="Segoe UI"/>
          <w:color w:val="201F1E"/>
          <w:sz w:val="22"/>
          <w:szCs w:val="22"/>
        </w:rPr>
        <w:t xml:space="preserve">inspiration behind the </w:t>
      </w:r>
      <w:r w:rsidR="003B4225" w:rsidRPr="003B4225">
        <w:rPr>
          <w:rFonts w:ascii="Garamond" w:hAnsi="Garamond" w:cs="Segoe UI"/>
          <w:i/>
          <w:iCs/>
          <w:color w:val="201F1E"/>
          <w:sz w:val="22"/>
          <w:szCs w:val="22"/>
        </w:rPr>
        <w:t>Rite of Spring</w:t>
      </w:r>
      <w:r w:rsidR="003B4225">
        <w:rPr>
          <w:rFonts w:ascii="Garamond" w:hAnsi="Garamond" w:cs="Segoe UI"/>
          <w:color w:val="201F1E"/>
          <w:sz w:val="22"/>
          <w:szCs w:val="22"/>
        </w:rPr>
        <w:t xml:space="preserve"> and those that shaped Ethel Walker’s life and career</w:t>
      </w:r>
      <w:r w:rsidRPr="00E36F07">
        <w:rPr>
          <w:rFonts w:ascii="Garamond" w:hAnsi="Garamond" w:cs="Segoe UI"/>
          <w:color w:val="201F1E"/>
          <w:sz w:val="22"/>
          <w:szCs w:val="22"/>
        </w:rPr>
        <w:t>.</w:t>
      </w:r>
      <w:r w:rsidR="005C19F9">
        <w:rPr>
          <w:rFonts w:ascii="Garamond" w:hAnsi="Garamond" w:cs="Segoe UI"/>
          <w:color w:val="201F1E"/>
          <w:sz w:val="22"/>
          <w:szCs w:val="22"/>
        </w:rPr>
        <w:t xml:space="preserve"> Several titles were attributed to this painting over the years which we have identified with different recurring themes linked to the iconography and influences present in this work. The title of the </w:t>
      </w:r>
      <w:r w:rsidR="005C19F9" w:rsidRPr="005C19F9">
        <w:rPr>
          <w:rFonts w:ascii="Garamond" w:hAnsi="Garamond" w:cs="Segoe UI"/>
          <w:i/>
          <w:iCs/>
          <w:color w:val="201F1E"/>
          <w:sz w:val="22"/>
          <w:szCs w:val="22"/>
        </w:rPr>
        <w:t>Offering</w:t>
      </w:r>
      <w:r w:rsidR="005C19F9">
        <w:rPr>
          <w:rFonts w:ascii="Garamond" w:hAnsi="Garamond" w:cs="Segoe UI"/>
          <w:color w:val="201F1E"/>
          <w:sz w:val="22"/>
          <w:szCs w:val="22"/>
        </w:rPr>
        <w:t xml:space="preserve"> which was used when the work was exhibited at the Royal Academy of the Arts in London in 1950 links the painting to the classical Hellenistic legacy which Ethel Walker absorbed whilst studying at the Slade School of Fine Art in London. Alternatively, the title of the </w:t>
      </w:r>
      <w:r w:rsidR="005C19F9" w:rsidRPr="00D013AB">
        <w:rPr>
          <w:rFonts w:ascii="Garamond" w:hAnsi="Garamond" w:cs="Segoe UI"/>
          <w:i/>
          <w:iCs/>
          <w:color w:val="201F1E"/>
          <w:sz w:val="22"/>
          <w:szCs w:val="22"/>
        </w:rPr>
        <w:t>Rite of Spring</w:t>
      </w:r>
      <w:r w:rsidR="005C19F9">
        <w:rPr>
          <w:rFonts w:ascii="Garamond" w:hAnsi="Garamond" w:cs="Segoe UI"/>
          <w:color w:val="201F1E"/>
          <w:sz w:val="22"/>
          <w:szCs w:val="22"/>
        </w:rPr>
        <w:t xml:space="preserve"> makes her </w:t>
      </w:r>
      <w:r w:rsidR="003B4225">
        <w:rPr>
          <w:rFonts w:ascii="Garamond" w:hAnsi="Garamond" w:cs="Segoe UI"/>
          <w:color w:val="201F1E"/>
          <w:sz w:val="22"/>
          <w:szCs w:val="22"/>
        </w:rPr>
        <w:t xml:space="preserve">connection </w:t>
      </w:r>
      <w:r w:rsidR="005C19F9">
        <w:rPr>
          <w:rFonts w:ascii="Garamond" w:hAnsi="Garamond" w:cs="Segoe UI"/>
          <w:color w:val="201F1E"/>
          <w:sz w:val="22"/>
          <w:szCs w:val="22"/>
        </w:rPr>
        <w:t>to</w:t>
      </w:r>
      <w:r w:rsidR="003B4225">
        <w:rPr>
          <w:rFonts w:ascii="Garamond" w:hAnsi="Garamond" w:cs="Segoe UI"/>
          <w:color w:val="201F1E"/>
          <w:sz w:val="22"/>
          <w:szCs w:val="22"/>
        </w:rPr>
        <w:t xml:space="preserve"> the Ballets Russes and the figure of Vaslav Nijinsky</w:t>
      </w:r>
      <w:r w:rsidR="005C19F9">
        <w:rPr>
          <w:rFonts w:ascii="Garamond" w:hAnsi="Garamond" w:cs="Segoe UI"/>
          <w:color w:val="201F1E"/>
          <w:sz w:val="22"/>
          <w:szCs w:val="22"/>
        </w:rPr>
        <w:t xml:space="preserve"> evident. This is</w:t>
      </w:r>
      <w:r w:rsidR="003B4225">
        <w:rPr>
          <w:rFonts w:ascii="Garamond" w:hAnsi="Garamond" w:cs="Segoe UI"/>
          <w:color w:val="201F1E"/>
          <w:sz w:val="22"/>
          <w:szCs w:val="22"/>
        </w:rPr>
        <w:t xml:space="preserve"> reflected in </w:t>
      </w:r>
      <w:r w:rsidR="00D013AB">
        <w:rPr>
          <w:rFonts w:ascii="Garamond" w:hAnsi="Garamond" w:cs="Segoe UI"/>
          <w:color w:val="201F1E"/>
          <w:sz w:val="22"/>
          <w:szCs w:val="22"/>
        </w:rPr>
        <w:t>the</w:t>
      </w:r>
      <w:r w:rsidR="003B4225">
        <w:rPr>
          <w:rFonts w:ascii="Garamond" w:hAnsi="Garamond" w:cs="Segoe UI"/>
          <w:color w:val="201F1E"/>
          <w:sz w:val="22"/>
          <w:szCs w:val="22"/>
        </w:rPr>
        <w:t xml:space="preserve"> iconography </w:t>
      </w:r>
      <w:r w:rsidR="005C19F9">
        <w:rPr>
          <w:rFonts w:ascii="Garamond" w:hAnsi="Garamond" w:cs="Segoe UI"/>
          <w:color w:val="201F1E"/>
          <w:sz w:val="22"/>
          <w:szCs w:val="22"/>
        </w:rPr>
        <w:t>of</w:t>
      </w:r>
      <w:r w:rsidR="003B4225">
        <w:rPr>
          <w:rFonts w:ascii="Garamond" w:hAnsi="Garamond" w:cs="Segoe UI"/>
          <w:color w:val="201F1E"/>
          <w:sz w:val="22"/>
          <w:szCs w:val="22"/>
        </w:rPr>
        <w:t xml:space="preserve"> the </w:t>
      </w:r>
      <w:r w:rsidR="003B4225" w:rsidRPr="003B4225">
        <w:rPr>
          <w:rFonts w:ascii="Garamond" w:hAnsi="Garamond" w:cs="Segoe UI"/>
          <w:i/>
          <w:iCs/>
          <w:color w:val="201F1E"/>
          <w:sz w:val="22"/>
          <w:szCs w:val="22"/>
        </w:rPr>
        <w:t>Rite of Spring</w:t>
      </w:r>
      <w:r w:rsidR="003B4225">
        <w:rPr>
          <w:rFonts w:ascii="Garamond" w:hAnsi="Garamond" w:cs="Segoe UI"/>
          <w:color w:val="201F1E"/>
          <w:sz w:val="22"/>
          <w:szCs w:val="22"/>
        </w:rPr>
        <w:t xml:space="preserve"> and </w:t>
      </w:r>
      <w:r w:rsidR="00D013AB">
        <w:rPr>
          <w:rFonts w:ascii="Garamond" w:hAnsi="Garamond" w:cs="Segoe UI"/>
          <w:color w:val="201F1E"/>
          <w:sz w:val="22"/>
          <w:szCs w:val="22"/>
        </w:rPr>
        <w:t xml:space="preserve">Ethel Walker’s </w:t>
      </w:r>
      <w:r w:rsidR="003B4225">
        <w:rPr>
          <w:rFonts w:ascii="Garamond" w:hAnsi="Garamond" w:cs="Segoe UI"/>
          <w:color w:val="201F1E"/>
          <w:sz w:val="22"/>
          <w:szCs w:val="22"/>
        </w:rPr>
        <w:t>other works</w:t>
      </w:r>
      <w:r w:rsidR="00D013AB">
        <w:rPr>
          <w:rFonts w:ascii="Garamond" w:hAnsi="Garamond" w:cs="Segoe UI"/>
          <w:color w:val="201F1E"/>
          <w:sz w:val="22"/>
          <w:szCs w:val="22"/>
        </w:rPr>
        <w:t xml:space="preserve"> such as the </w:t>
      </w:r>
      <w:r w:rsidR="00D013AB" w:rsidRPr="00D013AB">
        <w:rPr>
          <w:rFonts w:ascii="Garamond" w:hAnsi="Garamond" w:cs="Segoe UI"/>
          <w:i/>
          <w:iCs/>
          <w:color w:val="201F1E"/>
          <w:sz w:val="22"/>
          <w:szCs w:val="22"/>
        </w:rPr>
        <w:t>Plaster Cast of Dancer Figure</w:t>
      </w:r>
      <w:r w:rsidR="00D013AB">
        <w:rPr>
          <w:rFonts w:ascii="Garamond" w:hAnsi="Garamond" w:cs="Segoe UI"/>
          <w:color w:val="201F1E"/>
          <w:sz w:val="22"/>
          <w:szCs w:val="22"/>
        </w:rPr>
        <w:t xml:space="preserve"> from c. 1910-1913. The discussion of these works in</w:t>
      </w:r>
      <w:r w:rsidR="005C19F9">
        <w:rPr>
          <w:rFonts w:ascii="Garamond" w:hAnsi="Garamond" w:cs="Segoe UI"/>
          <w:color w:val="201F1E"/>
          <w:sz w:val="22"/>
          <w:szCs w:val="22"/>
        </w:rPr>
        <w:t xml:space="preserve"> this report has shown </w:t>
      </w:r>
      <w:r w:rsidR="003B4225">
        <w:rPr>
          <w:rFonts w:ascii="Garamond" w:hAnsi="Garamond" w:cs="Segoe UI"/>
          <w:color w:val="201F1E"/>
          <w:sz w:val="22"/>
          <w:szCs w:val="22"/>
        </w:rPr>
        <w:t xml:space="preserve">that </w:t>
      </w:r>
      <w:r w:rsidR="00D013AB">
        <w:rPr>
          <w:rFonts w:ascii="Garamond" w:hAnsi="Garamond" w:cs="Segoe UI"/>
          <w:color w:val="201F1E"/>
          <w:sz w:val="22"/>
          <w:szCs w:val="22"/>
        </w:rPr>
        <w:t>Ethel Walker</w:t>
      </w:r>
      <w:r w:rsidR="003B4225">
        <w:rPr>
          <w:rFonts w:ascii="Garamond" w:hAnsi="Garamond" w:cs="Segoe UI"/>
          <w:color w:val="201F1E"/>
          <w:sz w:val="22"/>
          <w:szCs w:val="22"/>
        </w:rPr>
        <w:t xml:space="preserve"> was deeply </w:t>
      </w:r>
      <w:r w:rsidR="00D013AB">
        <w:rPr>
          <w:rFonts w:ascii="Garamond" w:hAnsi="Garamond" w:cs="Segoe UI"/>
          <w:color w:val="201F1E"/>
          <w:sz w:val="22"/>
          <w:szCs w:val="22"/>
        </w:rPr>
        <w:t>fascinated</w:t>
      </w:r>
      <w:r w:rsidR="003B4225">
        <w:rPr>
          <w:rFonts w:ascii="Garamond" w:hAnsi="Garamond" w:cs="Segoe UI"/>
          <w:color w:val="201F1E"/>
          <w:sz w:val="22"/>
          <w:szCs w:val="22"/>
        </w:rPr>
        <w:t xml:space="preserve"> </w:t>
      </w:r>
      <w:r w:rsidR="00D013AB">
        <w:rPr>
          <w:rFonts w:ascii="Garamond" w:hAnsi="Garamond" w:cs="Segoe UI"/>
          <w:color w:val="201F1E"/>
          <w:sz w:val="22"/>
          <w:szCs w:val="22"/>
        </w:rPr>
        <w:t>by</w:t>
      </w:r>
      <w:r w:rsidR="003B4225">
        <w:rPr>
          <w:rFonts w:ascii="Garamond" w:hAnsi="Garamond" w:cs="Segoe UI"/>
          <w:color w:val="201F1E"/>
          <w:sz w:val="22"/>
          <w:szCs w:val="22"/>
        </w:rPr>
        <w:t xml:space="preserve"> the eclectic mix of dance, art and </w:t>
      </w:r>
      <w:r w:rsidR="00D013AB">
        <w:rPr>
          <w:rFonts w:ascii="Garamond" w:hAnsi="Garamond" w:cs="Segoe UI"/>
          <w:color w:val="201F1E"/>
          <w:sz w:val="22"/>
          <w:szCs w:val="22"/>
        </w:rPr>
        <w:t>theatre</w:t>
      </w:r>
      <w:r w:rsidR="003B4225">
        <w:rPr>
          <w:rFonts w:ascii="Garamond" w:hAnsi="Garamond" w:cs="Segoe UI"/>
          <w:color w:val="201F1E"/>
          <w:sz w:val="22"/>
          <w:szCs w:val="22"/>
        </w:rPr>
        <w:t xml:space="preserve"> that the </w:t>
      </w:r>
      <w:r w:rsidR="00D013AB">
        <w:rPr>
          <w:rFonts w:ascii="Garamond" w:hAnsi="Garamond" w:cs="Segoe UI"/>
          <w:color w:val="201F1E"/>
          <w:sz w:val="22"/>
          <w:szCs w:val="22"/>
        </w:rPr>
        <w:t xml:space="preserve">innovative </w:t>
      </w:r>
      <w:r w:rsidR="003B4225">
        <w:rPr>
          <w:rFonts w:ascii="Garamond" w:hAnsi="Garamond" w:cs="Segoe UI"/>
          <w:color w:val="201F1E"/>
          <w:sz w:val="22"/>
          <w:szCs w:val="22"/>
        </w:rPr>
        <w:t xml:space="preserve">Russian dance company </w:t>
      </w:r>
      <w:r w:rsidR="00D013AB">
        <w:rPr>
          <w:rFonts w:ascii="Garamond" w:hAnsi="Garamond" w:cs="Segoe UI"/>
          <w:color w:val="201F1E"/>
          <w:sz w:val="22"/>
          <w:szCs w:val="22"/>
        </w:rPr>
        <w:t xml:space="preserve">of the Ballets Russes represented. </w:t>
      </w:r>
      <w:r w:rsidR="003B4225">
        <w:rPr>
          <w:rFonts w:ascii="Garamond" w:hAnsi="Garamond" w:cs="Segoe UI"/>
          <w:color w:val="201F1E"/>
          <w:sz w:val="22"/>
          <w:szCs w:val="22"/>
        </w:rPr>
        <w:t xml:space="preserve"> </w:t>
      </w:r>
    </w:p>
    <w:p w14:paraId="71C25A7A" w14:textId="0B34F723" w:rsidR="003E40EE" w:rsidRPr="005C19F9" w:rsidRDefault="003B4225" w:rsidP="005C19F9">
      <w:pPr>
        <w:pStyle w:val="xmsonormal"/>
        <w:ind w:firstLine="720"/>
        <w:rPr>
          <w:rFonts w:ascii="Garamond" w:hAnsi="Garamond" w:cs="Segoe UI"/>
          <w:color w:val="201F1E"/>
          <w:sz w:val="22"/>
          <w:szCs w:val="22"/>
        </w:rPr>
      </w:pPr>
      <w:r>
        <w:rPr>
          <w:rFonts w:ascii="Garamond" w:hAnsi="Garamond" w:cs="Segoe UI"/>
          <w:color w:val="201F1E"/>
          <w:sz w:val="22"/>
          <w:szCs w:val="22"/>
        </w:rPr>
        <w:t xml:space="preserve"> </w:t>
      </w:r>
      <w:r w:rsidR="004006DC">
        <w:rPr>
          <w:rFonts w:ascii="Garamond" w:hAnsi="Garamond" w:cs="Segoe UI"/>
          <w:color w:val="201F1E"/>
          <w:sz w:val="22"/>
          <w:szCs w:val="22"/>
        </w:rPr>
        <w:t>A f</w:t>
      </w:r>
      <w:r w:rsidR="00E36F07" w:rsidRPr="00E36F07">
        <w:rPr>
          <w:rFonts w:ascii="Garamond" w:hAnsi="Garamond" w:cs="Segoe UI"/>
          <w:color w:val="201F1E"/>
          <w:sz w:val="22"/>
          <w:szCs w:val="22"/>
        </w:rPr>
        <w:t xml:space="preserve">eminist approach </w:t>
      </w:r>
      <w:r w:rsidR="004006DC">
        <w:rPr>
          <w:rFonts w:ascii="Garamond" w:hAnsi="Garamond" w:cs="Segoe UI"/>
          <w:color w:val="201F1E"/>
          <w:sz w:val="22"/>
          <w:szCs w:val="22"/>
        </w:rPr>
        <w:t>was</w:t>
      </w:r>
      <w:r w:rsidR="00E36F07" w:rsidRPr="00E36F07">
        <w:rPr>
          <w:rFonts w:ascii="Garamond" w:hAnsi="Garamond" w:cs="Segoe UI"/>
          <w:color w:val="201F1E"/>
          <w:sz w:val="22"/>
          <w:szCs w:val="22"/>
        </w:rPr>
        <w:t xml:space="preserve"> also employed </w:t>
      </w:r>
      <w:r w:rsidR="004006DC">
        <w:rPr>
          <w:rFonts w:ascii="Garamond" w:hAnsi="Garamond" w:cs="Segoe UI"/>
          <w:color w:val="201F1E"/>
          <w:sz w:val="22"/>
          <w:szCs w:val="22"/>
        </w:rPr>
        <w:t>as a means of exploring Ethel</w:t>
      </w:r>
      <w:r w:rsidR="00E36F07" w:rsidRPr="00E36F07">
        <w:rPr>
          <w:rFonts w:ascii="Garamond" w:hAnsi="Garamond" w:cs="Segoe UI"/>
          <w:color w:val="201F1E"/>
          <w:sz w:val="22"/>
          <w:szCs w:val="22"/>
        </w:rPr>
        <w:t xml:space="preserve"> Walker’s identity and sexuality which have been previously overlooked by art historical scholarship</w:t>
      </w:r>
      <w:r w:rsidR="004006DC">
        <w:rPr>
          <w:rFonts w:ascii="Garamond" w:hAnsi="Garamond" w:cs="Segoe UI"/>
          <w:color w:val="201F1E"/>
          <w:sz w:val="22"/>
          <w:szCs w:val="22"/>
        </w:rPr>
        <w:t>.</w:t>
      </w:r>
      <w:r w:rsidR="00E36F07" w:rsidRPr="00E36F07">
        <w:rPr>
          <w:rFonts w:ascii="Garamond" w:hAnsi="Garamond" w:cs="Segoe UI"/>
          <w:color w:val="201F1E"/>
          <w:sz w:val="22"/>
          <w:szCs w:val="22"/>
        </w:rPr>
        <w:t xml:space="preserve"> </w:t>
      </w:r>
      <w:r w:rsidR="004006DC">
        <w:rPr>
          <w:rFonts w:ascii="Garamond" w:hAnsi="Garamond" w:cs="Segoe UI"/>
          <w:color w:val="201F1E"/>
          <w:sz w:val="22"/>
          <w:szCs w:val="22"/>
        </w:rPr>
        <w:t>I</w:t>
      </w:r>
      <w:r w:rsidR="00E36F07" w:rsidRPr="00E36F07">
        <w:rPr>
          <w:rFonts w:ascii="Garamond" w:hAnsi="Garamond" w:cs="Segoe UI"/>
          <w:color w:val="201F1E"/>
          <w:sz w:val="22"/>
          <w:szCs w:val="22"/>
        </w:rPr>
        <w:t>n doing so</w:t>
      </w:r>
      <w:r w:rsidR="004006DC">
        <w:rPr>
          <w:rFonts w:ascii="Garamond" w:hAnsi="Garamond" w:cs="Segoe UI"/>
          <w:color w:val="201F1E"/>
          <w:sz w:val="22"/>
          <w:szCs w:val="22"/>
        </w:rPr>
        <w:t>, this report</w:t>
      </w:r>
      <w:r w:rsidR="00E36F07" w:rsidRPr="00E36F07">
        <w:rPr>
          <w:rFonts w:ascii="Garamond" w:hAnsi="Garamond" w:cs="Segoe UI"/>
          <w:color w:val="201F1E"/>
          <w:sz w:val="22"/>
          <w:szCs w:val="22"/>
        </w:rPr>
        <w:t xml:space="preserve"> </w:t>
      </w:r>
      <w:r w:rsidR="004006DC">
        <w:rPr>
          <w:rFonts w:ascii="Garamond" w:hAnsi="Garamond" w:cs="Segoe UI"/>
          <w:color w:val="201F1E"/>
          <w:sz w:val="22"/>
          <w:szCs w:val="22"/>
        </w:rPr>
        <w:t>follow</w:t>
      </w:r>
      <w:r>
        <w:rPr>
          <w:rFonts w:ascii="Garamond" w:hAnsi="Garamond" w:cs="Segoe UI"/>
          <w:color w:val="201F1E"/>
          <w:sz w:val="22"/>
          <w:szCs w:val="22"/>
        </w:rPr>
        <w:t>ed</w:t>
      </w:r>
      <w:r w:rsidR="004006DC">
        <w:rPr>
          <w:rFonts w:ascii="Garamond" w:hAnsi="Garamond" w:cs="Segoe UI"/>
          <w:color w:val="201F1E"/>
          <w:sz w:val="22"/>
          <w:szCs w:val="22"/>
        </w:rPr>
        <w:t xml:space="preserve"> the direction of</w:t>
      </w:r>
      <w:r w:rsidR="00E36F07" w:rsidRPr="00E36F07">
        <w:rPr>
          <w:rFonts w:ascii="Garamond" w:hAnsi="Garamond" w:cs="Segoe UI"/>
          <w:color w:val="201F1E"/>
          <w:sz w:val="22"/>
          <w:szCs w:val="22"/>
        </w:rPr>
        <w:t xml:space="preserve"> recent exhibitions such as the </w:t>
      </w:r>
      <w:r w:rsidR="00E36F07" w:rsidRPr="000677A2">
        <w:rPr>
          <w:rFonts w:ascii="Garamond" w:hAnsi="Garamond" w:cs="Segoe UI"/>
          <w:i/>
          <w:iCs/>
          <w:color w:val="201F1E"/>
          <w:sz w:val="22"/>
          <w:szCs w:val="22"/>
        </w:rPr>
        <w:t>Queer British Art (</w:t>
      </w:r>
      <w:r w:rsidR="00E36F07" w:rsidRPr="000677A2">
        <w:rPr>
          <w:rFonts w:ascii="Garamond" w:hAnsi="Garamond" w:cs="Segoe UI"/>
          <w:i/>
          <w:iCs/>
          <w:color w:val="201F1E"/>
          <w:sz w:val="22"/>
          <w:szCs w:val="22"/>
          <w:bdr w:val="none" w:sz="0" w:space="0" w:color="auto" w:frame="1"/>
        </w:rPr>
        <w:t>1861-1967)</w:t>
      </w:r>
      <w:r w:rsidR="004006DC">
        <w:rPr>
          <w:rFonts w:ascii="Garamond" w:hAnsi="Garamond" w:cs="Segoe UI"/>
          <w:color w:val="201F1E"/>
          <w:sz w:val="22"/>
          <w:szCs w:val="22"/>
          <w:bdr w:val="none" w:sz="0" w:space="0" w:color="auto" w:frame="1"/>
        </w:rPr>
        <w:t xml:space="preserve"> show </w:t>
      </w:r>
      <w:r w:rsidR="00D013AB">
        <w:rPr>
          <w:rFonts w:ascii="Garamond" w:hAnsi="Garamond" w:cs="Segoe UI"/>
          <w:color w:val="201F1E"/>
          <w:sz w:val="22"/>
          <w:szCs w:val="22"/>
          <w:bdr w:val="none" w:sz="0" w:space="0" w:color="auto" w:frame="1"/>
        </w:rPr>
        <w:t>at</w:t>
      </w:r>
      <w:r w:rsidR="004006DC">
        <w:rPr>
          <w:rFonts w:ascii="Garamond" w:hAnsi="Garamond" w:cs="Segoe UI"/>
          <w:color w:val="201F1E"/>
          <w:sz w:val="22"/>
          <w:szCs w:val="22"/>
          <w:bdr w:val="none" w:sz="0" w:space="0" w:color="auto" w:frame="1"/>
        </w:rPr>
        <w:t xml:space="preserve"> the Tate Britain from 2017.</w:t>
      </w:r>
      <w:r w:rsidR="00D013AB">
        <w:rPr>
          <w:rFonts w:ascii="Garamond" w:hAnsi="Garamond" w:cs="Segoe UI"/>
          <w:color w:val="201F1E"/>
          <w:sz w:val="22"/>
          <w:szCs w:val="22"/>
          <w:bdr w:val="none" w:sz="0" w:space="0" w:color="auto" w:frame="1"/>
        </w:rPr>
        <w:t xml:space="preserve"> The central figure depicted in the </w:t>
      </w:r>
      <w:r w:rsidR="00D013AB" w:rsidRPr="00D013AB">
        <w:rPr>
          <w:rFonts w:ascii="Garamond" w:hAnsi="Garamond" w:cs="Segoe UI"/>
          <w:i/>
          <w:iCs/>
          <w:color w:val="201F1E"/>
          <w:sz w:val="22"/>
          <w:szCs w:val="22"/>
          <w:bdr w:val="none" w:sz="0" w:space="0" w:color="auto" w:frame="1"/>
        </w:rPr>
        <w:t>Rite of Spring</w:t>
      </w:r>
      <w:r w:rsidR="00D013AB">
        <w:rPr>
          <w:rFonts w:ascii="Garamond" w:hAnsi="Garamond" w:cs="Segoe UI"/>
          <w:color w:val="201F1E"/>
          <w:sz w:val="22"/>
          <w:szCs w:val="22"/>
          <w:bdr w:val="none" w:sz="0" w:space="0" w:color="auto" w:frame="1"/>
        </w:rPr>
        <w:t xml:space="preserve"> stood out as particularly relevant for this avenue of research, whose androgynous appearance invited an analysis of queer identity and alternative sexuality.</w:t>
      </w:r>
      <w:r w:rsidR="004006DC">
        <w:rPr>
          <w:rFonts w:ascii="Garamond" w:hAnsi="Garamond" w:cs="Segoe UI"/>
          <w:color w:val="201F1E"/>
          <w:sz w:val="22"/>
          <w:szCs w:val="22"/>
          <w:bdr w:val="none" w:sz="0" w:space="0" w:color="auto" w:frame="1"/>
        </w:rPr>
        <w:t xml:space="preserve"> </w:t>
      </w:r>
      <w:r w:rsidR="00E36F07" w:rsidRPr="00E36F07">
        <w:rPr>
          <w:rFonts w:ascii="Garamond" w:hAnsi="Garamond" w:cs="Segoe UI"/>
          <w:color w:val="201F1E"/>
          <w:sz w:val="22"/>
          <w:szCs w:val="22"/>
        </w:rPr>
        <w:t xml:space="preserve">Through these methods and areas of research, this report </w:t>
      </w:r>
      <w:r w:rsidR="000677A2">
        <w:rPr>
          <w:rFonts w:ascii="Garamond" w:hAnsi="Garamond" w:cs="Segoe UI"/>
          <w:color w:val="201F1E"/>
          <w:sz w:val="22"/>
          <w:szCs w:val="22"/>
        </w:rPr>
        <w:t>explored the work of this virtually</w:t>
      </w:r>
      <w:r w:rsidR="00E36F07" w:rsidRPr="00E36F07">
        <w:rPr>
          <w:rFonts w:ascii="Garamond" w:hAnsi="Garamond" w:cs="Segoe UI"/>
          <w:color w:val="201F1E"/>
          <w:sz w:val="22"/>
          <w:szCs w:val="22"/>
        </w:rPr>
        <w:t xml:space="preserve"> overlooked artist from </w:t>
      </w:r>
      <w:r w:rsidR="00D013AB">
        <w:rPr>
          <w:rFonts w:ascii="Garamond" w:hAnsi="Garamond" w:cs="Segoe UI"/>
          <w:color w:val="201F1E"/>
          <w:sz w:val="22"/>
          <w:szCs w:val="22"/>
        </w:rPr>
        <w:t xml:space="preserve">a novel </w:t>
      </w:r>
      <w:r w:rsidR="00E36F07" w:rsidRPr="00E36F07">
        <w:rPr>
          <w:rFonts w:ascii="Garamond" w:hAnsi="Garamond" w:cs="Segoe UI"/>
          <w:color w:val="201F1E"/>
          <w:sz w:val="22"/>
          <w:szCs w:val="22"/>
        </w:rPr>
        <w:t xml:space="preserve">perspective, </w:t>
      </w:r>
      <w:r w:rsidR="000677A2">
        <w:rPr>
          <w:rFonts w:ascii="Garamond" w:hAnsi="Garamond" w:cs="Segoe UI"/>
          <w:color w:val="201F1E"/>
          <w:sz w:val="22"/>
          <w:szCs w:val="22"/>
        </w:rPr>
        <w:t>placing</w:t>
      </w:r>
      <w:r w:rsidR="00E36F07" w:rsidRPr="00E36F07">
        <w:rPr>
          <w:rFonts w:ascii="Garamond" w:hAnsi="Garamond" w:cs="Segoe UI"/>
          <w:color w:val="201F1E"/>
          <w:sz w:val="22"/>
          <w:szCs w:val="22"/>
        </w:rPr>
        <w:t xml:space="preserve"> her work within a broader socio-historical </w:t>
      </w:r>
      <w:r w:rsidR="00E36F07" w:rsidRPr="00E36F07">
        <w:rPr>
          <w:rFonts w:ascii="Garamond" w:hAnsi="Garamond" w:cs="Segoe UI"/>
          <w:color w:val="201F1E"/>
          <w:sz w:val="22"/>
          <w:szCs w:val="22"/>
        </w:rPr>
        <w:lastRenderedPageBreak/>
        <w:t>context which demonstrate</w:t>
      </w:r>
      <w:r w:rsidR="000677A2">
        <w:rPr>
          <w:rFonts w:ascii="Garamond" w:hAnsi="Garamond" w:cs="Segoe UI"/>
          <w:color w:val="201F1E"/>
          <w:sz w:val="22"/>
          <w:szCs w:val="22"/>
        </w:rPr>
        <w:t>d</w:t>
      </w:r>
      <w:r w:rsidR="00E36F07" w:rsidRPr="00E36F07">
        <w:rPr>
          <w:rFonts w:ascii="Garamond" w:hAnsi="Garamond" w:cs="Segoe UI"/>
          <w:color w:val="201F1E"/>
          <w:sz w:val="22"/>
          <w:szCs w:val="22"/>
        </w:rPr>
        <w:t xml:space="preserve"> her relevance to the history of British modern art. Furthermore, the technical analysis provide</w:t>
      </w:r>
      <w:r w:rsidR="000677A2">
        <w:rPr>
          <w:rFonts w:ascii="Garamond" w:hAnsi="Garamond" w:cs="Segoe UI"/>
          <w:color w:val="201F1E"/>
          <w:sz w:val="22"/>
          <w:szCs w:val="22"/>
        </w:rPr>
        <w:t>d</w:t>
      </w:r>
      <w:r w:rsidR="00E36F07" w:rsidRPr="00E36F07">
        <w:rPr>
          <w:rFonts w:ascii="Garamond" w:hAnsi="Garamond" w:cs="Segoe UI"/>
          <w:color w:val="201F1E"/>
          <w:sz w:val="22"/>
          <w:szCs w:val="22"/>
        </w:rPr>
        <w:t xml:space="preserve"> the reader with a unique insight into her artistic technique and her style</w:t>
      </w:r>
      <w:r w:rsidR="00D013AB">
        <w:rPr>
          <w:rFonts w:ascii="Garamond" w:hAnsi="Garamond" w:cs="Segoe UI"/>
          <w:color w:val="201F1E"/>
          <w:sz w:val="22"/>
          <w:szCs w:val="22"/>
        </w:rPr>
        <w:t xml:space="preserve">. </w:t>
      </w:r>
    </w:p>
    <w:sectPr w:rsidR="003E40EE" w:rsidRPr="005C1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B57BF" w14:textId="77777777" w:rsidR="00BE2198" w:rsidRDefault="00BE2198" w:rsidP="00400697">
      <w:pPr>
        <w:spacing w:line="240" w:lineRule="auto"/>
      </w:pPr>
      <w:r>
        <w:separator/>
      </w:r>
    </w:p>
  </w:endnote>
  <w:endnote w:type="continuationSeparator" w:id="0">
    <w:p w14:paraId="75438792" w14:textId="77777777" w:rsidR="00BE2198" w:rsidRDefault="00BE2198" w:rsidP="00400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D67FB" w14:textId="77777777" w:rsidR="00BE2198" w:rsidRDefault="00BE2198" w:rsidP="00400697">
      <w:pPr>
        <w:spacing w:line="240" w:lineRule="auto"/>
      </w:pPr>
      <w:r>
        <w:separator/>
      </w:r>
    </w:p>
  </w:footnote>
  <w:footnote w:type="continuationSeparator" w:id="0">
    <w:p w14:paraId="03E04A4D" w14:textId="77777777" w:rsidR="00BE2198" w:rsidRDefault="00BE2198" w:rsidP="004006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86"/>
    <w:rsid w:val="000677A2"/>
    <w:rsid w:val="00070A53"/>
    <w:rsid w:val="000C1078"/>
    <w:rsid w:val="001A7041"/>
    <w:rsid w:val="00277018"/>
    <w:rsid w:val="00372855"/>
    <w:rsid w:val="003B4225"/>
    <w:rsid w:val="003E40EE"/>
    <w:rsid w:val="00400697"/>
    <w:rsid w:val="004006DC"/>
    <w:rsid w:val="004A41B4"/>
    <w:rsid w:val="005C19F9"/>
    <w:rsid w:val="005D6CC2"/>
    <w:rsid w:val="005F4DF6"/>
    <w:rsid w:val="006838F3"/>
    <w:rsid w:val="006D5888"/>
    <w:rsid w:val="00774886"/>
    <w:rsid w:val="007A44A5"/>
    <w:rsid w:val="00A16552"/>
    <w:rsid w:val="00BE2198"/>
    <w:rsid w:val="00C42ADA"/>
    <w:rsid w:val="00C63586"/>
    <w:rsid w:val="00CA12D8"/>
    <w:rsid w:val="00D013AB"/>
    <w:rsid w:val="00E03C7D"/>
    <w:rsid w:val="00E3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B648"/>
  <w15:chartTrackingRefBased/>
  <w15:docId w15:val="{B4067443-EE07-D14B-9AE5-A940B4E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86"/>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3586"/>
  </w:style>
  <w:style w:type="paragraph" w:customStyle="1" w:styleId="xmsonormal">
    <w:name w:val="x_msonormal"/>
    <w:basedOn w:val="Normal"/>
    <w:rsid w:val="00C6358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E40E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00697"/>
    <w:pPr>
      <w:tabs>
        <w:tab w:val="center" w:pos="4513"/>
        <w:tab w:val="right" w:pos="9026"/>
      </w:tabs>
      <w:spacing w:line="240" w:lineRule="auto"/>
    </w:pPr>
  </w:style>
  <w:style w:type="character" w:customStyle="1" w:styleId="HeaderChar">
    <w:name w:val="Header Char"/>
    <w:basedOn w:val="DefaultParagraphFont"/>
    <w:link w:val="Header"/>
    <w:uiPriority w:val="99"/>
    <w:rsid w:val="00400697"/>
    <w:rPr>
      <w:rFonts w:ascii="Arial" w:eastAsia="Arial" w:hAnsi="Arial" w:cs="Arial"/>
      <w:sz w:val="22"/>
      <w:szCs w:val="22"/>
      <w:lang w:eastAsia="en-GB"/>
    </w:rPr>
  </w:style>
  <w:style w:type="paragraph" w:styleId="Footer">
    <w:name w:val="footer"/>
    <w:basedOn w:val="Normal"/>
    <w:link w:val="FooterChar"/>
    <w:uiPriority w:val="99"/>
    <w:unhideWhenUsed/>
    <w:rsid w:val="00400697"/>
    <w:pPr>
      <w:tabs>
        <w:tab w:val="center" w:pos="4513"/>
        <w:tab w:val="right" w:pos="9026"/>
      </w:tabs>
      <w:spacing w:line="240" w:lineRule="auto"/>
    </w:pPr>
  </w:style>
  <w:style w:type="character" w:customStyle="1" w:styleId="FooterChar">
    <w:name w:val="Footer Char"/>
    <w:basedOn w:val="DefaultParagraphFont"/>
    <w:link w:val="Footer"/>
    <w:uiPriority w:val="99"/>
    <w:rsid w:val="00400697"/>
    <w:rPr>
      <w:rFonts w:ascii="Arial" w:eastAsia="Arial" w:hAnsi="Arial" w:cs="Arial"/>
      <w:sz w:val="22"/>
      <w:szCs w:val="22"/>
      <w:lang w:eastAsia="en-GB"/>
    </w:rPr>
  </w:style>
  <w:style w:type="character" w:styleId="CommentReference">
    <w:name w:val="annotation reference"/>
    <w:basedOn w:val="DefaultParagraphFont"/>
    <w:uiPriority w:val="99"/>
    <w:semiHidden/>
    <w:unhideWhenUsed/>
    <w:rsid w:val="00C42ADA"/>
    <w:rPr>
      <w:sz w:val="16"/>
      <w:szCs w:val="16"/>
    </w:rPr>
  </w:style>
  <w:style w:type="paragraph" w:styleId="CommentText">
    <w:name w:val="annotation text"/>
    <w:basedOn w:val="Normal"/>
    <w:link w:val="CommentTextChar"/>
    <w:uiPriority w:val="99"/>
    <w:semiHidden/>
    <w:unhideWhenUsed/>
    <w:rsid w:val="00C42ADA"/>
    <w:pPr>
      <w:spacing w:line="240" w:lineRule="auto"/>
    </w:pPr>
    <w:rPr>
      <w:sz w:val="20"/>
      <w:szCs w:val="20"/>
    </w:rPr>
  </w:style>
  <w:style w:type="character" w:customStyle="1" w:styleId="CommentTextChar">
    <w:name w:val="Comment Text Char"/>
    <w:basedOn w:val="DefaultParagraphFont"/>
    <w:link w:val="CommentText"/>
    <w:uiPriority w:val="99"/>
    <w:semiHidden/>
    <w:rsid w:val="00C42ADA"/>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C42ADA"/>
    <w:rPr>
      <w:b/>
      <w:bCs/>
    </w:rPr>
  </w:style>
  <w:style w:type="character" w:customStyle="1" w:styleId="CommentSubjectChar">
    <w:name w:val="Comment Subject Char"/>
    <w:basedOn w:val="CommentTextChar"/>
    <w:link w:val="CommentSubject"/>
    <w:uiPriority w:val="99"/>
    <w:semiHidden/>
    <w:rsid w:val="00C42ADA"/>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C42A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ADA"/>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6515">
      <w:bodyDiv w:val="1"/>
      <w:marLeft w:val="0"/>
      <w:marRight w:val="0"/>
      <w:marTop w:val="0"/>
      <w:marBottom w:val="0"/>
      <w:divBdr>
        <w:top w:val="none" w:sz="0" w:space="0" w:color="auto"/>
        <w:left w:val="none" w:sz="0" w:space="0" w:color="auto"/>
        <w:bottom w:val="none" w:sz="0" w:space="0" w:color="auto"/>
        <w:right w:val="none" w:sz="0" w:space="0" w:color="auto"/>
      </w:divBdr>
    </w:div>
    <w:div w:id="1386755170">
      <w:bodyDiv w:val="1"/>
      <w:marLeft w:val="0"/>
      <w:marRight w:val="0"/>
      <w:marTop w:val="0"/>
      <w:marBottom w:val="0"/>
      <w:divBdr>
        <w:top w:val="none" w:sz="0" w:space="0" w:color="auto"/>
        <w:left w:val="none" w:sz="0" w:space="0" w:color="auto"/>
        <w:bottom w:val="none" w:sz="0" w:space="0" w:color="auto"/>
        <w:right w:val="none" w:sz="0" w:space="0" w:color="auto"/>
      </w:divBdr>
      <w:divsChild>
        <w:div w:id="690256303">
          <w:marLeft w:val="0"/>
          <w:marRight w:val="0"/>
          <w:marTop w:val="0"/>
          <w:marBottom w:val="0"/>
          <w:divBdr>
            <w:top w:val="none" w:sz="0" w:space="0" w:color="auto"/>
            <w:left w:val="none" w:sz="0" w:space="0" w:color="auto"/>
            <w:bottom w:val="none" w:sz="0" w:space="0" w:color="auto"/>
            <w:right w:val="none" w:sz="0" w:space="0" w:color="auto"/>
          </w:divBdr>
          <w:divsChild>
            <w:div w:id="163977102">
              <w:marLeft w:val="0"/>
              <w:marRight w:val="0"/>
              <w:marTop w:val="0"/>
              <w:marBottom w:val="0"/>
              <w:divBdr>
                <w:top w:val="none" w:sz="0" w:space="0" w:color="auto"/>
                <w:left w:val="none" w:sz="0" w:space="0" w:color="auto"/>
                <w:bottom w:val="none" w:sz="0" w:space="0" w:color="auto"/>
                <w:right w:val="none" w:sz="0" w:space="0" w:color="auto"/>
              </w:divBdr>
              <w:divsChild>
                <w:div w:id="3402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Copley</dc:creator>
  <cp:keywords/>
  <dc:description/>
  <cp:lastModifiedBy>Burnstock, Aviva</cp:lastModifiedBy>
  <cp:revision>2</cp:revision>
  <dcterms:created xsi:type="dcterms:W3CDTF">2021-06-22T15:18:00Z</dcterms:created>
  <dcterms:modified xsi:type="dcterms:W3CDTF">2021-06-22T15:18:00Z</dcterms:modified>
</cp:coreProperties>
</file>